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129791">
      <w:pPr>
        <w:keepNext w:val="0"/>
        <w:keepLines w:val="0"/>
        <w:pageBreakBefore w:val="0"/>
        <w:widowControl/>
        <w:suppressLineNumbers w:val="0"/>
        <w:kinsoku/>
        <w:overflowPunct/>
        <w:topLinePunct w:val="0"/>
        <w:autoSpaceDE/>
        <w:autoSpaceDN/>
        <w:bidi w:val="0"/>
        <w:adjustRightInd/>
        <w:snapToGrid/>
        <w:spacing w:line="576" w:lineRule="exact"/>
        <w:jc w:val="center"/>
        <w:textAlignment w:val="auto"/>
        <w:rPr>
          <w:rFonts w:ascii="宋体" w:hAnsi="宋体" w:eastAsia="宋体" w:cs="宋体"/>
          <w:b/>
          <w:bCs/>
          <w:kern w:val="0"/>
          <w:sz w:val="36"/>
          <w:szCs w:val="36"/>
          <w:lang w:val="en-US" w:eastAsia="zh-CN" w:bidi="ar"/>
        </w:rPr>
      </w:pPr>
    </w:p>
    <w:p w14:paraId="36EAE08B">
      <w:pPr>
        <w:keepNext w:val="0"/>
        <w:keepLines w:val="0"/>
        <w:pageBreakBefore w:val="0"/>
        <w:widowControl/>
        <w:suppressLineNumbers w:val="0"/>
        <w:kinsoku/>
        <w:overflowPunct/>
        <w:topLinePunct w:val="0"/>
        <w:autoSpaceDE/>
        <w:autoSpaceDN/>
        <w:bidi w:val="0"/>
        <w:adjustRightInd/>
        <w:snapToGrid/>
        <w:spacing w:line="576" w:lineRule="exact"/>
        <w:jc w:val="center"/>
        <w:textAlignment w:val="auto"/>
        <w:rPr>
          <w:rFonts w:hint="default" w:ascii="宋体" w:hAnsi="宋体" w:eastAsia="宋体" w:cs="宋体"/>
          <w:b/>
          <w:bCs/>
          <w:kern w:val="0"/>
          <w:sz w:val="36"/>
          <w:szCs w:val="36"/>
          <w:lang w:val="en-US" w:eastAsia="zh-CN" w:bidi="ar"/>
        </w:rPr>
      </w:pPr>
      <w:r>
        <w:rPr>
          <w:rFonts w:ascii="宋体" w:hAnsi="宋体" w:eastAsia="宋体" w:cs="宋体"/>
          <w:b/>
          <w:bCs/>
          <w:kern w:val="0"/>
          <w:sz w:val="36"/>
          <w:szCs w:val="36"/>
          <w:lang w:val="en-US" w:eastAsia="zh-CN" w:bidi="ar"/>
        </w:rPr>
        <w:t>湖南安保（湘中人才）集团有限公司采购代理机构遴选建库</w:t>
      </w:r>
      <w:r>
        <w:rPr>
          <w:rFonts w:hint="eastAsia" w:ascii="宋体" w:hAnsi="宋体" w:eastAsia="宋体" w:cs="宋体"/>
          <w:b/>
          <w:bCs/>
          <w:kern w:val="0"/>
          <w:sz w:val="36"/>
          <w:szCs w:val="36"/>
          <w:lang w:val="en-US" w:eastAsia="zh-CN" w:bidi="ar"/>
        </w:rPr>
        <w:t>入围成交公告</w:t>
      </w:r>
    </w:p>
    <w:p w14:paraId="3868070A">
      <w:pPr>
        <w:keepNext w:val="0"/>
        <w:keepLines w:val="0"/>
        <w:pageBreakBefore w:val="0"/>
        <w:widowControl/>
        <w:suppressLineNumbers w:val="0"/>
        <w:kinsoku/>
        <w:overflowPunct/>
        <w:topLinePunct w:val="0"/>
        <w:autoSpaceDE/>
        <w:autoSpaceDN/>
        <w:bidi w:val="0"/>
        <w:adjustRightInd/>
        <w:snapToGrid/>
        <w:spacing w:line="576" w:lineRule="exact"/>
        <w:ind w:firstLine="560" w:firstLineChars="200"/>
        <w:jc w:val="left"/>
        <w:textAlignment w:val="auto"/>
        <w:rPr>
          <w:rFonts w:hint="eastAsia" w:ascii="仿宋" w:hAnsi="仿宋" w:eastAsia="仿宋" w:cs="仿宋"/>
          <w:kern w:val="0"/>
          <w:sz w:val="28"/>
          <w:szCs w:val="28"/>
          <w:lang w:val="en-US" w:eastAsia="zh-CN" w:bidi="ar"/>
        </w:rPr>
      </w:pPr>
    </w:p>
    <w:p w14:paraId="1BBE803A">
      <w:pPr>
        <w:keepNext w:val="0"/>
        <w:keepLines w:val="0"/>
        <w:pageBreakBefore w:val="0"/>
        <w:widowControl/>
        <w:suppressLineNumbers w:val="0"/>
        <w:kinsoku/>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湖南安保（湘中人才）集团有限公司采购代理机构遴选建库于2026年7月</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kern w:val="0"/>
          <w:sz w:val="32"/>
          <w:szCs w:val="32"/>
          <w:lang w:val="en-US" w:eastAsia="zh-CN" w:bidi="ar"/>
        </w:rPr>
        <w:t>日报名截止，2026年7月</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kern w:val="0"/>
          <w:sz w:val="32"/>
          <w:szCs w:val="32"/>
          <w:lang w:val="en-US" w:eastAsia="zh-CN" w:bidi="ar"/>
        </w:rPr>
        <w:t>日经湖南安保（湘中人才）集团有限公司评审小组进行综合评选，确定五家入围单位，具体如下：</w:t>
      </w:r>
      <w:bookmarkStart w:id="0" w:name="_GoBack"/>
      <w:bookmarkEnd w:id="0"/>
    </w:p>
    <w:p w14:paraId="2FD5F6B7">
      <w:pPr>
        <w:keepNext w:val="0"/>
        <w:keepLines w:val="0"/>
        <w:pageBreakBefore w:val="0"/>
        <w:widowControl/>
        <w:suppressLineNumbers w:val="0"/>
        <w:kinsoku/>
        <w:overflowPunct/>
        <w:topLinePunct w:val="0"/>
        <w:autoSpaceDE/>
        <w:autoSpaceDN/>
        <w:bidi w:val="0"/>
        <w:adjustRightInd/>
        <w:snapToGrid/>
        <w:spacing w:line="576" w:lineRule="exact"/>
        <w:ind w:firstLine="640" w:firstLineChars="200"/>
        <w:jc w:val="left"/>
        <w:textAlignment w:val="auto"/>
        <w:rPr>
          <w:rFonts w:hint="eastAsia" w:ascii="黑体" w:hAnsi="黑体" w:eastAsia="黑体" w:cs="黑体"/>
          <w:kern w:val="0"/>
          <w:sz w:val="32"/>
          <w:szCs w:val="32"/>
          <w:lang w:val="en-US" w:eastAsia="zh-CN" w:bidi="ar"/>
        </w:rPr>
      </w:pPr>
      <w:r>
        <w:rPr>
          <w:rFonts w:hint="eastAsia" w:ascii="黑体" w:hAnsi="黑体" w:eastAsia="黑体" w:cs="黑体"/>
          <w:kern w:val="0"/>
          <w:sz w:val="32"/>
          <w:szCs w:val="32"/>
          <w:lang w:val="en-US" w:eastAsia="zh-CN" w:bidi="ar"/>
        </w:rPr>
        <w:t>一、入围成交代理机构信息</w:t>
      </w:r>
    </w:p>
    <w:tbl>
      <w:tblPr>
        <w:tblStyle w:val="4"/>
        <w:tblW w:w="8009" w:type="dxa"/>
        <w:tblInd w:w="7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6"/>
        <w:gridCol w:w="6823"/>
      </w:tblGrid>
      <w:tr w14:paraId="50AFA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vAlign w:val="center"/>
          </w:tcPr>
          <w:p w14:paraId="0E964CD6">
            <w:pPr>
              <w:keepNext w:val="0"/>
              <w:keepLines w:val="0"/>
              <w:pageBreakBefore w:val="0"/>
              <w:widowControl/>
              <w:suppressLineNumbers w:val="0"/>
              <w:kinsoku/>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kern w:val="0"/>
                <w:sz w:val="32"/>
                <w:szCs w:val="32"/>
                <w:vertAlign w:val="baseline"/>
                <w:lang w:val="en-US" w:eastAsia="zh-CN" w:bidi="ar"/>
              </w:rPr>
            </w:pPr>
            <w:r>
              <w:rPr>
                <w:rFonts w:hint="eastAsia" w:ascii="仿宋_GB2312" w:hAnsi="仿宋_GB2312" w:eastAsia="仿宋_GB2312" w:cs="仿宋_GB2312"/>
                <w:kern w:val="0"/>
                <w:sz w:val="32"/>
                <w:szCs w:val="32"/>
                <w:vertAlign w:val="baseline"/>
                <w:lang w:val="en-US" w:eastAsia="zh-CN" w:bidi="ar"/>
              </w:rPr>
              <w:t>序号</w:t>
            </w:r>
          </w:p>
        </w:tc>
        <w:tc>
          <w:tcPr>
            <w:tcW w:w="6823" w:type="dxa"/>
            <w:vAlign w:val="center"/>
          </w:tcPr>
          <w:p w14:paraId="3098330B">
            <w:pPr>
              <w:keepNext w:val="0"/>
              <w:keepLines w:val="0"/>
              <w:pageBreakBefore w:val="0"/>
              <w:widowControl/>
              <w:suppressLineNumbers w:val="0"/>
              <w:kinsoku/>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kern w:val="0"/>
                <w:sz w:val="32"/>
                <w:szCs w:val="32"/>
                <w:vertAlign w:val="baseline"/>
                <w:lang w:val="en-US" w:eastAsia="zh-CN" w:bidi="ar"/>
              </w:rPr>
            </w:pPr>
            <w:r>
              <w:rPr>
                <w:rFonts w:hint="eastAsia" w:ascii="仿宋_GB2312" w:hAnsi="仿宋_GB2312" w:eastAsia="仿宋_GB2312" w:cs="仿宋_GB2312"/>
                <w:kern w:val="0"/>
                <w:sz w:val="32"/>
                <w:szCs w:val="32"/>
                <w:vertAlign w:val="baseline"/>
                <w:lang w:val="en-US" w:eastAsia="zh-CN" w:bidi="ar"/>
              </w:rPr>
              <w:t>公司名称</w:t>
            </w:r>
          </w:p>
        </w:tc>
      </w:tr>
      <w:tr w14:paraId="2C161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vAlign w:val="center"/>
          </w:tcPr>
          <w:p w14:paraId="3F08AF50">
            <w:pPr>
              <w:keepNext w:val="0"/>
              <w:keepLines w:val="0"/>
              <w:pageBreakBefore w:val="0"/>
              <w:widowControl/>
              <w:suppressLineNumbers w:val="0"/>
              <w:kinsoku/>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kern w:val="0"/>
                <w:sz w:val="32"/>
                <w:szCs w:val="32"/>
                <w:vertAlign w:val="baseline"/>
                <w:lang w:val="en-US" w:eastAsia="zh-CN" w:bidi="ar"/>
              </w:rPr>
            </w:pPr>
            <w:r>
              <w:rPr>
                <w:rFonts w:hint="eastAsia" w:ascii="仿宋_GB2312" w:hAnsi="仿宋_GB2312" w:eastAsia="仿宋_GB2312" w:cs="仿宋_GB2312"/>
                <w:kern w:val="0"/>
                <w:sz w:val="32"/>
                <w:szCs w:val="32"/>
                <w:vertAlign w:val="baseline"/>
                <w:lang w:val="en-US" w:eastAsia="zh-CN" w:bidi="ar"/>
              </w:rPr>
              <w:t>1</w:t>
            </w:r>
          </w:p>
        </w:tc>
        <w:tc>
          <w:tcPr>
            <w:tcW w:w="6823" w:type="dxa"/>
            <w:vAlign w:val="center"/>
          </w:tcPr>
          <w:p w14:paraId="5ED48BA8">
            <w:pPr>
              <w:keepNext w:val="0"/>
              <w:keepLines w:val="0"/>
              <w:pageBreakBefore w:val="0"/>
              <w:widowControl/>
              <w:suppressLineNumbers w:val="0"/>
              <w:kinsoku/>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kern w:val="0"/>
                <w:sz w:val="32"/>
                <w:szCs w:val="32"/>
                <w:vertAlign w:val="baseline"/>
                <w:lang w:val="en-US" w:eastAsia="zh-CN" w:bidi="ar"/>
              </w:rPr>
            </w:pPr>
            <w:r>
              <w:rPr>
                <w:rFonts w:hint="eastAsia" w:ascii="仿宋_GB2312" w:hAnsi="仿宋_GB2312" w:eastAsia="仿宋_GB2312" w:cs="仿宋_GB2312"/>
                <w:kern w:val="0"/>
                <w:sz w:val="32"/>
                <w:szCs w:val="32"/>
                <w:vertAlign w:val="baseline"/>
                <w:lang w:val="en-US" w:eastAsia="zh-CN" w:bidi="ar"/>
              </w:rPr>
              <w:t>湖南省招标有限责任公司</w:t>
            </w:r>
          </w:p>
        </w:tc>
      </w:tr>
      <w:tr w14:paraId="4F6C1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vAlign w:val="center"/>
          </w:tcPr>
          <w:p w14:paraId="366B9C41">
            <w:pPr>
              <w:keepNext w:val="0"/>
              <w:keepLines w:val="0"/>
              <w:pageBreakBefore w:val="0"/>
              <w:widowControl/>
              <w:suppressLineNumbers w:val="0"/>
              <w:kinsoku/>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kern w:val="0"/>
                <w:sz w:val="32"/>
                <w:szCs w:val="32"/>
                <w:vertAlign w:val="baseline"/>
                <w:lang w:val="en-US" w:eastAsia="zh-CN" w:bidi="ar"/>
              </w:rPr>
            </w:pPr>
            <w:r>
              <w:rPr>
                <w:rFonts w:hint="eastAsia" w:ascii="仿宋_GB2312" w:hAnsi="仿宋_GB2312" w:eastAsia="仿宋_GB2312" w:cs="仿宋_GB2312"/>
                <w:kern w:val="0"/>
                <w:sz w:val="32"/>
                <w:szCs w:val="32"/>
                <w:vertAlign w:val="baseline"/>
                <w:lang w:val="en-US" w:eastAsia="zh-CN" w:bidi="ar"/>
              </w:rPr>
              <w:t>2</w:t>
            </w:r>
          </w:p>
        </w:tc>
        <w:tc>
          <w:tcPr>
            <w:tcW w:w="6823" w:type="dxa"/>
            <w:vAlign w:val="center"/>
          </w:tcPr>
          <w:p w14:paraId="56196189">
            <w:pPr>
              <w:keepNext w:val="0"/>
              <w:keepLines w:val="0"/>
              <w:pageBreakBefore w:val="0"/>
              <w:widowControl/>
              <w:suppressLineNumbers w:val="0"/>
              <w:kinsoku/>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kern w:val="0"/>
                <w:sz w:val="32"/>
                <w:szCs w:val="32"/>
                <w:vertAlign w:val="baseline"/>
                <w:lang w:val="en-US" w:eastAsia="zh-CN" w:bidi="ar"/>
              </w:rPr>
            </w:pPr>
            <w:r>
              <w:rPr>
                <w:rFonts w:hint="eastAsia" w:ascii="仿宋_GB2312" w:hAnsi="仿宋_GB2312" w:eastAsia="仿宋_GB2312" w:cs="仿宋_GB2312"/>
                <w:kern w:val="0"/>
                <w:sz w:val="32"/>
                <w:szCs w:val="32"/>
                <w:vertAlign w:val="baseline"/>
                <w:lang w:val="en-US" w:eastAsia="zh-CN" w:bidi="ar"/>
              </w:rPr>
              <w:t>湖南名宿建设项目管理有限责任公司</w:t>
            </w:r>
          </w:p>
        </w:tc>
      </w:tr>
      <w:tr w14:paraId="69E8B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vAlign w:val="center"/>
          </w:tcPr>
          <w:p w14:paraId="116A8FAE">
            <w:pPr>
              <w:keepNext w:val="0"/>
              <w:keepLines w:val="0"/>
              <w:pageBreakBefore w:val="0"/>
              <w:widowControl/>
              <w:suppressLineNumbers w:val="0"/>
              <w:kinsoku/>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kern w:val="0"/>
                <w:sz w:val="32"/>
                <w:szCs w:val="32"/>
                <w:vertAlign w:val="baseline"/>
                <w:lang w:val="en-US" w:eastAsia="zh-CN" w:bidi="ar"/>
              </w:rPr>
            </w:pPr>
            <w:r>
              <w:rPr>
                <w:rFonts w:hint="eastAsia" w:ascii="仿宋_GB2312" w:hAnsi="仿宋_GB2312" w:eastAsia="仿宋_GB2312" w:cs="仿宋_GB2312"/>
                <w:kern w:val="0"/>
                <w:sz w:val="32"/>
                <w:szCs w:val="32"/>
                <w:vertAlign w:val="baseline"/>
                <w:lang w:val="en-US" w:eastAsia="zh-CN" w:bidi="ar"/>
              </w:rPr>
              <w:t>3</w:t>
            </w:r>
          </w:p>
        </w:tc>
        <w:tc>
          <w:tcPr>
            <w:tcW w:w="6823" w:type="dxa"/>
            <w:vAlign w:val="center"/>
          </w:tcPr>
          <w:p w14:paraId="255CE7C0">
            <w:pPr>
              <w:keepNext w:val="0"/>
              <w:keepLines w:val="0"/>
              <w:pageBreakBefore w:val="0"/>
              <w:widowControl/>
              <w:suppressLineNumbers w:val="0"/>
              <w:kinsoku/>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kern w:val="0"/>
                <w:sz w:val="32"/>
                <w:szCs w:val="32"/>
                <w:vertAlign w:val="baseline"/>
                <w:lang w:val="en-US" w:eastAsia="zh-CN" w:bidi="ar"/>
              </w:rPr>
            </w:pPr>
            <w:r>
              <w:rPr>
                <w:rFonts w:hint="eastAsia" w:ascii="仿宋_GB2312" w:hAnsi="仿宋_GB2312" w:eastAsia="仿宋_GB2312" w:cs="仿宋_GB2312"/>
                <w:kern w:val="0"/>
                <w:sz w:val="32"/>
                <w:szCs w:val="32"/>
                <w:vertAlign w:val="baseline"/>
                <w:lang w:val="en-US" w:eastAsia="zh-CN" w:bidi="ar"/>
              </w:rPr>
              <w:t>湖南坤禾项目管理有限公司</w:t>
            </w:r>
          </w:p>
        </w:tc>
      </w:tr>
      <w:tr w14:paraId="75A2E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vAlign w:val="center"/>
          </w:tcPr>
          <w:p w14:paraId="6B87404F">
            <w:pPr>
              <w:keepNext w:val="0"/>
              <w:keepLines w:val="0"/>
              <w:pageBreakBefore w:val="0"/>
              <w:widowControl/>
              <w:suppressLineNumbers w:val="0"/>
              <w:kinsoku/>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kern w:val="0"/>
                <w:sz w:val="32"/>
                <w:szCs w:val="32"/>
                <w:vertAlign w:val="baseline"/>
                <w:lang w:val="en-US" w:eastAsia="zh-CN" w:bidi="ar"/>
              </w:rPr>
            </w:pPr>
            <w:r>
              <w:rPr>
                <w:rFonts w:hint="eastAsia" w:ascii="仿宋_GB2312" w:hAnsi="仿宋_GB2312" w:eastAsia="仿宋_GB2312" w:cs="仿宋_GB2312"/>
                <w:kern w:val="0"/>
                <w:sz w:val="32"/>
                <w:szCs w:val="32"/>
                <w:vertAlign w:val="baseline"/>
                <w:lang w:val="en-US" w:eastAsia="zh-CN" w:bidi="ar"/>
              </w:rPr>
              <w:t>4</w:t>
            </w:r>
          </w:p>
        </w:tc>
        <w:tc>
          <w:tcPr>
            <w:tcW w:w="6823" w:type="dxa"/>
            <w:vAlign w:val="center"/>
          </w:tcPr>
          <w:p w14:paraId="27F93551">
            <w:pPr>
              <w:keepNext w:val="0"/>
              <w:keepLines w:val="0"/>
              <w:pageBreakBefore w:val="0"/>
              <w:widowControl/>
              <w:suppressLineNumbers w:val="0"/>
              <w:kinsoku/>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kern w:val="0"/>
                <w:sz w:val="32"/>
                <w:szCs w:val="32"/>
                <w:vertAlign w:val="baseline"/>
                <w:lang w:val="en-US" w:eastAsia="zh-CN" w:bidi="ar"/>
              </w:rPr>
            </w:pPr>
            <w:r>
              <w:rPr>
                <w:rFonts w:hint="eastAsia" w:ascii="仿宋_GB2312" w:hAnsi="仿宋_GB2312" w:eastAsia="仿宋_GB2312" w:cs="仿宋_GB2312"/>
                <w:kern w:val="0"/>
                <w:sz w:val="32"/>
                <w:szCs w:val="32"/>
                <w:vertAlign w:val="baseline"/>
                <w:lang w:val="en-US" w:eastAsia="zh-CN" w:bidi="ar"/>
              </w:rPr>
              <w:t>中盈永诚咨询集团有限公司</w:t>
            </w:r>
          </w:p>
        </w:tc>
      </w:tr>
      <w:tr w14:paraId="20FB6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vAlign w:val="center"/>
          </w:tcPr>
          <w:p w14:paraId="1DA1773D">
            <w:pPr>
              <w:keepNext w:val="0"/>
              <w:keepLines w:val="0"/>
              <w:pageBreakBefore w:val="0"/>
              <w:widowControl/>
              <w:suppressLineNumbers w:val="0"/>
              <w:kinsoku/>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kern w:val="0"/>
                <w:sz w:val="32"/>
                <w:szCs w:val="32"/>
                <w:vertAlign w:val="baseline"/>
                <w:lang w:val="en-US" w:eastAsia="zh-CN" w:bidi="ar"/>
              </w:rPr>
            </w:pPr>
            <w:r>
              <w:rPr>
                <w:rFonts w:hint="eastAsia" w:ascii="仿宋_GB2312" w:hAnsi="仿宋_GB2312" w:eastAsia="仿宋_GB2312" w:cs="仿宋_GB2312"/>
                <w:kern w:val="0"/>
                <w:sz w:val="32"/>
                <w:szCs w:val="32"/>
                <w:vertAlign w:val="baseline"/>
                <w:lang w:val="en-US" w:eastAsia="zh-CN" w:bidi="ar"/>
              </w:rPr>
              <w:t>5</w:t>
            </w:r>
          </w:p>
        </w:tc>
        <w:tc>
          <w:tcPr>
            <w:tcW w:w="6823" w:type="dxa"/>
            <w:vAlign w:val="center"/>
          </w:tcPr>
          <w:p w14:paraId="3031C816">
            <w:pPr>
              <w:keepNext w:val="0"/>
              <w:keepLines w:val="0"/>
              <w:pageBreakBefore w:val="0"/>
              <w:widowControl/>
              <w:suppressLineNumbers w:val="0"/>
              <w:kinsoku/>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kern w:val="0"/>
                <w:sz w:val="32"/>
                <w:szCs w:val="32"/>
                <w:vertAlign w:val="baseline"/>
                <w:lang w:val="en-US" w:eastAsia="zh-CN" w:bidi="ar"/>
              </w:rPr>
            </w:pPr>
            <w:r>
              <w:rPr>
                <w:rFonts w:hint="eastAsia" w:ascii="仿宋_GB2312" w:hAnsi="仿宋_GB2312" w:eastAsia="仿宋_GB2312" w:cs="仿宋_GB2312"/>
                <w:kern w:val="0"/>
                <w:sz w:val="32"/>
                <w:szCs w:val="32"/>
                <w:vertAlign w:val="baseline"/>
                <w:lang w:val="en-US" w:eastAsia="zh-CN" w:bidi="ar"/>
              </w:rPr>
              <w:t>湖南昇阳通用航空生产服务有限公司</w:t>
            </w:r>
          </w:p>
        </w:tc>
      </w:tr>
    </w:tbl>
    <w:p w14:paraId="2AF88FC9">
      <w:pPr>
        <w:keepNext w:val="0"/>
        <w:keepLines w:val="0"/>
        <w:pageBreakBefore w:val="0"/>
        <w:widowControl/>
        <w:suppressLineNumbers w:val="0"/>
        <w:kinsoku/>
        <w:overflowPunct/>
        <w:topLinePunct w:val="0"/>
        <w:autoSpaceDE/>
        <w:autoSpaceDN/>
        <w:bidi w:val="0"/>
        <w:adjustRightInd/>
        <w:snapToGrid/>
        <w:spacing w:line="576" w:lineRule="exact"/>
        <w:ind w:firstLine="640" w:firstLineChars="200"/>
        <w:jc w:val="left"/>
        <w:textAlignment w:val="auto"/>
        <w:rPr>
          <w:rFonts w:hint="eastAsia" w:ascii="黑体" w:hAnsi="黑体" w:eastAsia="黑体" w:cs="黑体"/>
          <w:kern w:val="0"/>
          <w:sz w:val="32"/>
          <w:szCs w:val="32"/>
          <w:lang w:val="en-US" w:eastAsia="zh-CN" w:bidi="ar"/>
        </w:rPr>
      </w:pPr>
      <w:r>
        <w:rPr>
          <w:rFonts w:hint="eastAsia" w:ascii="黑体" w:hAnsi="黑体" w:eastAsia="黑体" w:cs="黑体"/>
          <w:kern w:val="0"/>
          <w:sz w:val="32"/>
          <w:szCs w:val="32"/>
          <w:lang w:val="en-US" w:eastAsia="zh-CN" w:bidi="ar"/>
        </w:rPr>
        <w:t>二、服务期限</w:t>
      </w:r>
    </w:p>
    <w:p w14:paraId="5A66AA5F">
      <w:pPr>
        <w:keepNext w:val="0"/>
        <w:keepLines w:val="0"/>
        <w:pageBreakBefore w:val="0"/>
        <w:widowControl/>
        <w:numPr>
          <w:ilvl w:val="0"/>
          <w:numId w:val="0"/>
        </w:numPr>
        <w:suppressLineNumbers w:val="0"/>
        <w:kinsoku/>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自入库公示期满正式入库之日起2年。库内服务实行一事一委托、一事一签，具体服务收费标准以双方最终合同约定结果为准。期间如遇政策调整，则按相关规定执行。</w:t>
      </w:r>
    </w:p>
    <w:p w14:paraId="7565A60D">
      <w:pPr>
        <w:keepNext w:val="0"/>
        <w:keepLines w:val="0"/>
        <w:pageBreakBefore w:val="0"/>
        <w:widowControl/>
        <w:numPr>
          <w:ilvl w:val="0"/>
          <w:numId w:val="0"/>
        </w:numPr>
        <w:suppressLineNumbers w:val="0"/>
        <w:kinsoku/>
        <w:overflowPunct/>
        <w:topLinePunct w:val="0"/>
        <w:autoSpaceDE/>
        <w:autoSpaceDN/>
        <w:bidi w:val="0"/>
        <w:adjustRightInd/>
        <w:snapToGrid/>
        <w:spacing w:line="576" w:lineRule="exact"/>
        <w:ind w:firstLine="640" w:firstLineChars="200"/>
        <w:jc w:val="left"/>
        <w:textAlignment w:val="auto"/>
        <w:rPr>
          <w:rFonts w:hint="eastAsia" w:ascii="黑体" w:hAnsi="黑体" w:eastAsia="黑体" w:cs="黑体"/>
          <w:kern w:val="0"/>
          <w:sz w:val="32"/>
          <w:szCs w:val="32"/>
          <w:lang w:val="en-US" w:eastAsia="zh-CN" w:bidi="ar"/>
        </w:rPr>
      </w:pPr>
      <w:r>
        <w:rPr>
          <w:rFonts w:hint="eastAsia" w:ascii="黑体" w:hAnsi="黑体" w:eastAsia="黑体" w:cs="黑体"/>
          <w:kern w:val="0"/>
          <w:sz w:val="32"/>
          <w:szCs w:val="32"/>
          <w:lang w:val="en-US" w:eastAsia="zh-CN" w:bidi="ar"/>
        </w:rPr>
        <w:t>三、公告期限</w:t>
      </w:r>
    </w:p>
    <w:p w14:paraId="3E80951F">
      <w:pPr>
        <w:keepNext w:val="0"/>
        <w:keepLines w:val="0"/>
        <w:pageBreakBefore w:val="0"/>
        <w:widowControl/>
        <w:numPr>
          <w:ilvl w:val="0"/>
          <w:numId w:val="0"/>
        </w:numPr>
        <w:suppressLineNumbers w:val="0"/>
        <w:kinsoku/>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自本公告发布之日起3个工作日。</w:t>
      </w:r>
    </w:p>
    <w:p w14:paraId="4547E328">
      <w:pPr>
        <w:keepNext w:val="0"/>
        <w:keepLines w:val="0"/>
        <w:pageBreakBefore w:val="0"/>
        <w:widowControl/>
        <w:numPr>
          <w:ilvl w:val="0"/>
          <w:numId w:val="0"/>
        </w:numPr>
        <w:suppressLineNumbers w:val="0"/>
        <w:kinsoku/>
        <w:overflowPunct/>
        <w:topLinePunct w:val="0"/>
        <w:autoSpaceDE/>
        <w:autoSpaceDN/>
        <w:bidi w:val="0"/>
        <w:adjustRightInd/>
        <w:snapToGrid/>
        <w:spacing w:line="576" w:lineRule="exact"/>
        <w:ind w:firstLine="640" w:firstLineChars="200"/>
        <w:jc w:val="left"/>
        <w:textAlignment w:val="auto"/>
        <w:rPr>
          <w:rFonts w:hint="eastAsia" w:ascii="黑体" w:hAnsi="黑体" w:eastAsia="黑体" w:cs="黑体"/>
          <w:kern w:val="0"/>
          <w:sz w:val="32"/>
          <w:szCs w:val="32"/>
          <w:lang w:val="en-US" w:eastAsia="zh-CN" w:bidi="ar"/>
        </w:rPr>
      </w:pPr>
      <w:r>
        <w:rPr>
          <w:rFonts w:hint="eastAsia" w:ascii="黑体" w:hAnsi="黑体" w:eastAsia="黑体" w:cs="黑体"/>
          <w:kern w:val="0"/>
          <w:sz w:val="32"/>
          <w:szCs w:val="32"/>
          <w:lang w:val="en-US" w:eastAsia="zh-CN" w:bidi="ar"/>
        </w:rPr>
        <w:t>四、公告发布媒体</w:t>
      </w:r>
    </w:p>
    <w:p w14:paraId="5C9E5523">
      <w:pPr>
        <w:keepNext w:val="0"/>
        <w:keepLines w:val="0"/>
        <w:pageBreakBefore w:val="0"/>
        <w:widowControl/>
        <w:numPr>
          <w:ilvl w:val="0"/>
          <w:numId w:val="0"/>
        </w:numPr>
        <w:suppressLineNumbers w:val="0"/>
        <w:kinsoku/>
        <w:wordWrap w:val="0"/>
        <w:overflowPunct/>
        <w:topLinePunct w:val="0"/>
        <w:autoSpaceDE/>
        <w:autoSpaceDN/>
        <w:bidi w:val="0"/>
        <w:adjustRightInd/>
        <w:snapToGrid/>
        <w:spacing w:line="576" w:lineRule="exact"/>
        <w:ind w:firstLine="960" w:firstLineChars="3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湖南安保（湘中人才）集团有限公司（http://www.hnabjt.com/news.php?page=2&amp;fl=2）门户网。</w:t>
      </w:r>
    </w:p>
    <w:p w14:paraId="6689BDBB">
      <w:pPr>
        <w:keepNext w:val="0"/>
        <w:keepLines w:val="0"/>
        <w:pageBreakBefore w:val="0"/>
        <w:widowControl/>
        <w:numPr>
          <w:ilvl w:val="0"/>
          <w:numId w:val="0"/>
        </w:numPr>
        <w:suppressLineNumbers w:val="0"/>
        <w:kinsoku/>
        <w:overflowPunct/>
        <w:topLinePunct w:val="0"/>
        <w:autoSpaceDE/>
        <w:autoSpaceDN/>
        <w:bidi w:val="0"/>
        <w:adjustRightInd/>
        <w:snapToGrid/>
        <w:spacing w:line="576" w:lineRule="exact"/>
        <w:ind w:firstLine="640" w:firstLineChars="200"/>
        <w:jc w:val="left"/>
        <w:textAlignment w:val="auto"/>
        <w:rPr>
          <w:rFonts w:hint="eastAsia" w:ascii="黑体" w:hAnsi="黑体" w:eastAsia="黑体" w:cs="黑体"/>
          <w:kern w:val="0"/>
          <w:sz w:val="32"/>
          <w:szCs w:val="32"/>
          <w:lang w:val="en-US" w:eastAsia="zh-CN" w:bidi="ar"/>
        </w:rPr>
      </w:pPr>
      <w:r>
        <w:rPr>
          <w:rFonts w:hint="eastAsia" w:ascii="黑体" w:hAnsi="黑体" w:eastAsia="黑体" w:cs="黑体"/>
          <w:kern w:val="0"/>
          <w:sz w:val="32"/>
          <w:szCs w:val="32"/>
          <w:lang w:val="en-US" w:eastAsia="zh-CN" w:bidi="ar"/>
        </w:rPr>
        <w:t>五、异议与监督</w:t>
      </w:r>
    </w:p>
    <w:p w14:paraId="332D26B2">
      <w:pPr>
        <w:keepNext w:val="0"/>
        <w:keepLines w:val="0"/>
        <w:pageBreakBefore w:val="0"/>
        <w:widowControl/>
        <w:numPr>
          <w:ilvl w:val="0"/>
          <w:numId w:val="0"/>
        </w:numPr>
        <w:suppressLineNumbers w:val="0"/>
        <w:kinsoku/>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kern w:val="0"/>
          <w:sz w:val="32"/>
          <w:szCs w:val="32"/>
          <w:lang w:val="en-US" w:eastAsia="zh-CN" w:bidi="ar"/>
        </w:rPr>
        <w:t>参与湖南安保（湘中人才）集团有限公司采购代理机构遴选建库的代理机构如对入围成交公告有异议的，请于本公告发布之日起3个工作日之内以书面形式向湖南安保（湘中人才）集团有限公司</w:t>
      </w:r>
      <w:r>
        <w:rPr>
          <w:rFonts w:hint="eastAsia" w:ascii="仿宋_GB2312" w:hAnsi="仿宋_GB2312" w:eastAsia="仿宋_GB2312" w:cs="仿宋_GB2312"/>
          <w:kern w:val="0"/>
          <w:sz w:val="32"/>
          <w:szCs w:val="32"/>
          <w:highlight w:val="none"/>
          <w:shd w:val="clear" w:color="auto" w:fill="auto"/>
          <w:lang w:val="en-US" w:eastAsia="zh-CN" w:bidi="ar"/>
        </w:rPr>
        <w:t>后勤保障部</w:t>
      </w:r>
      <w:r>
        <w:rPr>
          <w:rFonts w:hint="eastAsia" w:ascii="仿宋_GB2312" w:hAnsi="仿宋_GB2312" w:eastAsia="仿宋_GB2312" w:cs="仿宋_GB2312"/>
          <w:kern w:val="0"/>
          <w:sz w:val="32"/>
          <w:szCs w:val="32"/>
          <w:lang w:val="en-US" w:eastAsia="zh-CN" w:bidi="ar"/>
        </w:rPr>
        <w:t>提出，逾期不予受理。</w:t>
      </w:r>
    </w:p>
    <w:p w14:paraId="59D2F7EA">
      <w:pPr>
        <w:keepNext w:val="0"/>
        <w:keepLines w:val="0"/>
        <w:pageBreakBefore w:val="0"/>
        <w:widowControl/>
        <w:suppressLineNumbers w:val="0"/>
        <w:kinsoku/>
        <w:overflowPunct/>
        <w:topLinePunct w:val="0"/>
        <w:autoSpaceDE/>
        <w:autoSpaceDN/>
        <w:bidi w:val="0"/>
        <w:adjustRightInd/>
        <w:snapToGrid/>
        <w:spacing w:line="576" w:lineRule="exact"/>
        <w:ind w:firstLine="320" w:firstLineChars="100"/>
        <w:jc w:val="left"/>
        <w:textAlignment w:val="auto"/>
        <w:rPr>
          <w:rFonts w:hint="eastAsia" w:ascii="仿宋_GB2312" w:hAnsi="仿宋_GB2312" w:eastAsia="仿宋_GB2312" w:cs="仿宋_GB2312"/>
          <w:kern w:val="0"/>
          <w:sz w:val="32"/>
          <w:szCs w:val="32"/>
          <w:lang w:val="en-US" w:eastAsia="zh-CN" w:bidi="ar"/>
        </w:rPr>
      </w:pPr>
    </w:p>
    <w:p w14:paraId="6D3E0EF5">
      <w:pPr>
        <w:keepNext w:val="0"/>
        <w:keepLines w:val="0"/>
        <w:pageBreakBefore w:val="0"/>
        <w:kinsoku/>
        <w:overflowPunct/>
        <w:topLinePunct w:val="0"/>
        <w:autoSpaceDE/>
        <w:autoSpaceDN/>
        <w:bidi w:val="0"/>
        <w:adjustRightInd/>
        <w:snapToGrid/>
        <w:spacing w:line="576" w:lineRule="exact"/>
        <w:ind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湖南安保（湘中人才）集团有限公司</w:t>
      </w:r>
    </w:p>
    <w:p w14:paraId="3ABE8077">
      <w:pPr>
        <w:keepNext w:val="0"/>
        <w:keepLines w:val="0"/>
        <w:pageBreakBefore w:val="0"/>
        <w:kinsoku/>
        <w:overflowPunct/>
        <w:topLinePunct w:val="0"/>
        <w:autoSpaceDE/>
        <w:autoSpaceDN/>
        <w:bidi w:val="0"/>
        <w:adjustRightInd/>
        <w:snapToGrid/>
        <w:spacing w:line="576" w:lineRule="exact"/>
        <w:ind w:firstLine="640" w:firstLineChars="20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2026年7月27日</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0E31F9"/>
    <w:rsid w:val="022F73A2"/>
    <w:rsid w:val="06577312"/>
    <w:rsid w:val="210E31F9"/>
    <w:rsid w:val="22C13E27"/>
    <w:rsid w:val="394702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469</Words>
  <Characters>522</Characters>
  <Lines>0</Lines>
  <Paragraphs>0</Paragraphs>
  <TotalTime>27</TotalTime>
  <ScaleCrop>false</ScaleCrop>
  <LinksUpToDate>false</LinksUpToDate>
  <CharactersWithSpaces>546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2026-07-26T07:00:00Z</dcterms:created>
  <dc:creator>dell</dc:creator>
  <cp:lastModifiedBy>十一</cp:lastModifiedBy>
  <cp:lastPrinted>2026-07-27T08:31:00Z</cp:lastPrinted>
  <dcterms:modified xsi:type="dcterms:W3CDTF">2026-07-27T08:55:35Z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E9D81C49C171414CA9F905FCD3BBDCA5_13</vt:lpwstr>
  </property>
  <property fmtid="{D5CDD505-2E9C-101B-9397-08002B2CF9AE}" pid="4" name="KSOTemplateDocerSaveRecord">
    <vt:lpwstr>eyJoZGlkIjoiZTFiYTE4N2U3YThmMGVkODM5ZGYyOWRjZTIxNzAyNTYiLCJ1c2VySWQiOiI0MTk0MTc5MTkifQ==</vt:lpwstr>
  </property>
</Properties>
</file>